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07425" w:rsidRPr="005B7653" w:rsidRDefault="00A767DA">
      <w:pPr>
        <w:pStyle w:val="Heading1"/>
        <w:rPr>
          <w:sz w:val="24"/>
          <w:szCs w:val="24"/>
        </w:rPr>
      </w:pPr>
      <w:r w:rsidRPr="005B7653">
        <w:rPr>
          <w:sz w:val="24"/>
          <w:szCs w:val="24"/>
        </w:rPr>
        <w:t>Comments on Exposure Draft</w:t>
      </w:r>
    </w:p>
    <w:p w:rsidR="00807425" w:rsidRPr="005B7653" w:rsidRDefault="00A767DA">
      <w:pPr>
        <w:rPr>
          <w:sz w:val="24"/>
          <w:szCs w:val="24"/>
        </w:rPr>
      </w:pPr>
      <w:r w:rsidRPr="005B7653">
        <w:rPr>
          <w:sz w:val="24"/>
          <w:szCs w:val="24"/>
        </w:rPr>
        <w:t>Amendments to Ind AS 21 – Translation to a Hyperinflationary Presentation Currency</w:t>
      </w:r>
      <w:r w:rsidRPr="005B7653">
        <w:rPr>
          <w:sz w:val="24"/>
          <w:szCs w:val="24"/>
        </w:rPr>
        <w:br/>
      </w:r>
    </w:p>
    <w:p w:rsidR="00807425" w:rsidRPr="005B7653" w:rsidRDefault="00A767DA">
      <w:pPr>
        <w:rPr>
          <w:sz w:val="24"/>
          <w:szCs w:val="24"/>
        </w:rPr>
      </w:pPr>
      <w:r w:rsidRPr="005B7653">
        <w:rPr>
          <w:sz w:val="24"/>
          <w:szCs w:val="24"/>
        </w:rPr>
        <w:t>To</w:t>
      </w:r>
      <w:r w:rsidRPr="005B7653">
        <w:rPr>
          <w:sz w:val="24"/>
          <w:szCs w:val="24"/>
        </w:rPr>
        <w:br/>
        <w:t>The Accounting Standards Board</w:t>
      </w:r>
      <w:r w:rsidRPr="005B7653">
        <w:rPr>
          <w:sz w:val="24"/>
          <w:szCs w:val="24"/>
        </w:rPr>
        <w:br/>
        <w:t>The Institute of Chartered Accountants of India</w:t>
      </w:r>
      <w:r w:rsidRPr="005B7653">
        <w:rPr>
          <w:sz w:val="24"/>
          <w:szCs w:val="24"/>
        </w:rPr>
        <w:br/>
        <w:t>New Delhi</w:t>
      </w:r>
      <w:r w:rsidRPr="005B7653">
        <w:rPr>
          <w:sz w:val="24"/>
          <w:szCs w:val="24"/>
        </w:rPr>
        <w:br/>
      </w:r>
    </w:p>
    <w:p w:rsidR="00A767DA" w:rsidRPr="005B7653" w:rsidRDefault="00A767DA">
      <w:pPr>
        <w:rPr>
          <w:sz w:val="24"/>
          <w:szCs w:val="24"/>
        </w:rPr>
      </w:pPr>
      <w:r w:rsidRPr="005B7653">
        <w:rPr>
          <w:sz w:val="24"/>
          <w:szCs w:val="24"/>
        </w:rPr>
        <w:t>Subject: Comments on Exposure Draft – Amendments to Ind AS 21: Translation to a Hyperinflationary Presentation Currency</w:t>
      </w:r>
      <w:r w:rsidRPr="005B7653">
        <w:rPr>
          <w:sz w:val="24"/>
          <w:szCs w:val="24"/>
        </w:rPr>
        <w:br/>
      </w:r>
    </w:p>
    <w:p w:rsidR="00807425" w:rsidRPr="005B7653" w:rsidRDefault="00A767DA" w:rsidP="00BA4E6A">
      <w:pPr>
        <w:rPr>
          <w:sz w:val="24"/>
          <w:szCs w:val="24"/>
        </w:rPr>
      </w:pPr>
      <w:r w:rsidRPr="005B7653">
        <w:rPr>
          <w:sz w:val="24"/>
          <w:szCs w:val="24"/>
        </w:rPr>
        <w:t>Respected</w:t>
      </w:r>
      <w:r w:rsidR="00BA4E6A">
        <w:rPr>
          <w:sz w:val="24"/>
          <w:szCs w:val="24"/>
        </w:rPr>
        <w:t xml:space="preserve"> </w:t>
      </w:r>
      <w:r w:rsidRPr="005B7653">
        <w:rPr>
          <w:sz w:val="24"/>
          <w:szCs w:val="24"/>
        </w:rPr>
        <w:t>Sir/Madam,</w:t>
      </w:r>
      <w:r w:rsidRPr="005B7653">
        <w:rPr>
          <w:sz w:val="24"/>
          <w:szCs w:val="24"/>
        </w:rPr>
        <w:br/>
      </w:r>
      <w:r w:rsidRPr="005B7653">
        <w:rPr>
          <w:sz w:val="24"/>
          <w:szCs w:val="24"/>
        </w:rPr>
        <w:br/>
        <w:t>We appreciate the Accounting Standards Board for issuing the Exposure Draft on ‘Translation to a Hyperinflationary Presentation Currency’. The proposed amendments provide much-needed clarity where an entity’s presentation currency is hyperinflationary while its functional currency is non-hyperinflationary. Overall, the amendments are aligned with international developments and will improve consistency and comparability of financial statements.</w:t>
      </w:r>
    </w:p>
    <w:p w:rsidR="00807425" w:rsidRPr="005B7653" w:rsidRDefault="00A767DA">
      <w:pPr>
        <w:pStyle w:val="Heading2"/>
        <w:rPr>
          <w:sz w:val="24"/>
          <w:szCs w:val="24"/>
        </w:rPr>
      </w:pPr>
      <w:r w:rsidRPr="005B7653">
        <w:rPr>
          <w:sz w:val="24"/>
          <w:szCs w:val="24"/>
        </w:rPr>
        <w:t>Specific Comments</w:t>
      </w:r>
    </w:p>
    <w:p w:rsidR="008A2961" w:rsidRPr="008A2961" w:rsidRDefault="008A2961" w:rsidP="008A2961">
      <w:pPr>
        <w:rPr>
          <w:b/>
          <w:bCs/>
          <w:sz w:val="24"/>
          <w:szCs w:val="24"/>
          <w:lang w:val="en-IN"/>
        </w:rPr>
      </w:pPr>
      <w:r w:rsidRPr="008A2961">
        <w:rPr>
          <w:b/>
          <w:bCs/>
          <w:sz w:val="24"/>
          <w:szCs w:val="24"/>
          <w:lang w:val="en-IN"/>
        </w:rPr>
        <w:t>1. Clarity on "Ceasing" Hyperinflation</w:t>
      </w:r>
    </w:p>
    <w:p w:rsidR="008A2961" w:rsidRPr="008A2961" w:rsidRDefault="008A2961" w:rsidP="008A2961">
      <w:pPr>
        <w:rPr>
          <w:sz w:val="24"/>
          <w:szCs w:val="24"/>
          <w:lang w:val="en-IN"/>
        </w:rPr>
      </w:pPr>
      <w:r w:rsidRPr="008A2961">
        <w:rPr>
          <w:sz w:val="24"/>
          <w:szCs w:val="24"/>
          <w:lang w:val="en-IN"/>
        </w:rPr>
        <w:t>While paragraph 41B mentions prospective application when an economy "ceases to be hyperinflationary," the draft does not provide specific qualitative or quantitative triggers for this determination.</w:t>
      </w:r>
    </w:p>
    <w:p w:rsidR="008A2961" w:rsidRDefault="008A2961" w:rsidP="008A2961">
      <w:pPr>
        <w:numPr>
          <w:ilvl w:val="0"/>
          <w:numId w:val="10"/>
        </w:numPr>
        <w:rPr>
          <w:sz w:val="24"/>
          <w:szCs w:val="24"/>
          <w:lang w:val="en-IN"/>
        </w:rPr>
      </w:pPr>
      <w:r w:rsidRPr="008A2961">
        <w:rPr>
          <w:b/>
          <w:bCs/>
          <w:sz w:val="24"/>
          <w:szCs w:val="24"/>
          <w:lang w:val="en-IN"/>
        </w:rPr>
        <w:t>Suggestion:</w:t>
      </w:r>
      <w:r w:rsidRPr="008A2961">
        <w:rPr>
          <w:sz w:val="24"/>
          <w:szCs w:val="24"/>
          <w:lang w:val="en-IN"/>
        </w:rPr>
        <w:t xml:space="preserve"> Recommend that the amendment include cross-references to Ind AS 29’s characteristics of hyperinflation to ensure consistency in identifying the exact moment an economy is no longer considered hyperinflationary.</w:t>
      </w:r>
    </w:p>
    <w:p w:rsidR="005E36A2" w:rsidRDefault="005E36A2" w:rsidP="008A2961">
      <w:pPr>
        <w:rPr>
          <w:sz w:val="24"/>
          <w:szCs w:val="24"/>
          <w:lang w:val="en-IN"/>
        </w:rPr>
      </w:pPr>
    </w:p>
    <w:p w:rsidR="008A2961" w:rsidRPr="008A2961" w:rsidRDefault="008A2961" w:rsidP="008A2961">
      <w:pPr>
        <w:rPr>
          <w:b/>
          <w:bCs/>
          <w:sz w:val="24"/>
          <w:szCs w:val="24"/>
          <w:lang w:val="en-IN"/>
        </w:rPr>
      </w:pPr>
      <w:r w:rsidRPr="008A2961">
        <w:rPr>
          <w:b/>
          <w:bCs/>
          <w:sz w:val="24"/>
          <w:szCs w:val="24"/>
          <w:lang w:val="en-IN"/>
        </w:rPr>
        <w:t>2. Operational Complexity of Retrospective Application</w:t>
      </w:r>
    </w:p>
    <w:p w:rsidR="008A2961" w:rsidRPr="008A2961" w:rsidRDefault="008A2961" w:rsidP="008A2961">
      <w:pPr>
        <w:rPr>
          <w:sz w:val="24"/>
          <w:szCs w:val="24"/>
          <w:lang w:val="en-IN"/>
        </w:rPr>
      </w:pPr>
      <w:r w:rsidRPr="008A2961">
        <w:rPr>
          <w:sz w:val="24"/>
          <w:szCs w:val="24"/>
          <w:lang w:val="en-IN"/>
        </w:rPr>
        <w:t xml:space="preserve">Paragraph 60P(b) requires retrospective application in accordance with Ind AS 8 for most changes. Restating historical financial data into a hyperinflationary currency </w:t>
      </w:r>
      <w:r w:rsidRPr="008A2961">
        <w:rPr>
          <w:sz w:val="24"/>
          <w:szCs w:val="24"/>
          <w:lang w:val="en-IN"/>
        </w:rPr>
        <w:lastRenderedPageBreak/>
        <w:t>using retrospective closing rates can be operationally burdensome and may lead to data integrity issues.</w:t>
      </w:r>
    </w:p>
    <w:p w:rsidR="008A2961" w:rsidRPr="008A2961" w:rsidRDefault="008A2961" w:rsidP="008A2961">
      <w:pPr>
        <w:numPr>
          <w:ilvl w:val="0"/>
          <w:numId w:val="11"/>
        </w:numPr>
        <w:rPr>
          <w:sz w:val="24"/>
          <w:szCs w:val="24"/>
          <w:lang w:val="en-IN"/>
        </w:rPr>
      </w:pPr>
      <w:r w:rsidRPr="008A2961">
        <w:rPr>
          <w:b/>
          <w:bCs/>
          <w:sz w:val="24"/>
          <w:szCs w:val="24"/>
          <w:lang w:val="en-IN"/>
        </w:rPr>
        <w:t>Suggestion:</w:t>
      </w:r>
      <w:r w:rsidRPr="008A2961">
        <w:rPr>
          <w:sz w:val="24"/>
          <w:szCs w:val="24"/>
          <w:lang w:val="en-IN"/>
        </w:rPr>
        <w:t xml:space="preserve"> Propose a "practical expedient" or limited exemption for entities where gathering historical exchange rate data for all comparative periods is not feasible without undue cost or effort.</w:t>
      </w:r>
    </w:p>
    <w:p w:rsidR="008A2961" w:rsidRPr="008A2961" w:rsidRDefault="008A2961" w:rsidP="008A2961">
      <w:pPr>
        <w:rPr>
          <w:b/>
          <w:bCs/>
          <w:sz w:val="24"/>
          <w:szCs w:val="24"/>
          <w:lang w:val="en-IN"/>
        </w:rPr>
      </w:pPr>
      <w:r w:rsidRPr="008A2961">
        <w:rPr>
          <w:b/>
          <w:bCs/>
          <w:sz w:val="24"/>
          <w:szCs w:val="24"/>
          <w:lang w:val="en-IN"/>
        </w:rPr>
        <w:t>3. Disclosure Labels for Foreign Operations</w:t>
      </w:r>
    </w:p>
    <w:p w:rsidR="008A2961" w:rsidRPr="008A2961" w:rsidRDefault="008A2961" w:rsidP="008A2961">
      <w:pPr>
        <w:rPr>
          <w:sz w:val="24"/>
          <w:szCs w:val="24"/>
          <w:lang w:val="en-IN"/>
        </w:rPr>
      </w:pPr>
      <w:r w:rsidRPr="008A2961">
        <w:rPr>
          <w:sz w:val="24"/>
          <w:szCs w:val="24"/>
          <w:lang w:val="en-IN"/>
        </w:rPr>
        <w:t>The draft requires entities to "label" comparative summarized financial information to show it was prepared using a general price index.</w:t>
      </w:r>
    </w:p>
    <w:p w:rsidR="008A2961" w:rsidRPr="008A2961" w:rsidRDefault="008A2961" w:rsidP="008A2961">
      <w:pPr>
        <w:numPr>
          <w:ilvl w:val="0"/>
          <w:numId w:val="12"/>
        </w:numPr>
        <w:rPr>
          <w:sz w:val="24"/>
          <w:szCs w:val="24"/>
          <w:lang w:val="en-IN"/>
        </w:rPr>
      </w:pPr>
      <w:r w:rsidRPr="008A2961">
        <w:rPr>
          <w:b/>
          <w:bCs/>
          <w:sz w:val="24"/>
          <w:szCs w:val="24"/>
          <w:lang w:val="en-IN"/>
        </w:rPr>
        <w:t>Suggestion:</w:t>
      </w:r>
      <w:r w:rsidRPr="008A2961">
        <w:rPr>
          <w:sz w:val="24"/>
          <w:szCs w:val="24"/>
          <w:lang w:val="en-IN"/>
        </w:rPr>
        <w:t xml:space="preserve"> Request a standardized "template" or specific wording for this label to ensure uniformity across different companies' financial statements, making it easier for investors to identify these restatements.</w:t>
      </w:r>
    </w:p>
    <w:p w:rsidR="008A2961" w:rsidRPr="008A2961" w:rsidRDefault="008A2961" w:rsidP="008A2961">
      <w:pPr>
        <w:rPr>
          <w:b/>
          <w:bCs/>
          <w:sz w:val="24"/>
          <w:szCs w:val="24"/>
          <w:lang w:val="en-IN"/>
        </w:rPr>
      </w:pPr>
      <w:r w:rsidRPr="008A2961">
        <w:rPr>
          <w:b/>
          <w:bCs/>
          <w:sz w:val="24"/>
          <w:szCs w:val="24"/>
          <w:lang w:val="en-IN"/>
        </w:rPr>
        <w:t>4. Alignment with Ind AS 118</w:t>
      </w:r>
    </w:p>
    <w:p w:rsidR="008A2961" w:rsidRPr="008A2961" w:rsidRDefault="008A2961" w:rsidP="008A2961">
      <w:pPr>
        <w:rPr>
          <w:sz w:val="24"/>
          <w:szCs w:val="24"/>
          <w:lang w:val="en-IN"/>
        </w:rPr>
      </w:pPr>
      <w:r w:rsidRPr="008A2961">
        <w:rPr>
          <w:sz w:val="24"/>
          <w:szCs w:val="24"/>
          <w:lang w:val="en-IN"/>
        </w:rPr>
        <w:t xml:space="preserve">The draft references </w:t>
      </w:r>
      <w:r w:rsidRPr="008A2961">
        <w:rPr>
          <w:b/>
          <w:bCs/>
          <w:sz w:val="24"/>
          <w:szCs w:val="24"/>
          <w:lang w:val="en-IN"/>
        </w:rPr>
        <w:t>Ind AS 118</w:t>
      </w:r>
      <w:r w:rsidRPr="008A2961">
        <w:rPr>
          <w:sz w:val="24"/>
          <w:szCs w:val="24"/>
          <w:lang w:val="en-IN"/>
        </w:rPr>
        <w:t xml:space="preserve"> (</w:t>
      </w:r>
      <w:r w:rsidRPr="008A2961">
        <w:rPr>
          <w:i/>
          <w:iCs/>
          <w:sz w:val="24"/>
          <w:szCs w:val="24"/>
          <w:lang w:val="en-IN"/>
        </w:rPr>
        <w:t>Presentation and Disclosure in Financial Statements</w:t>
      </w:r>
      <w:r w:rsidRPr="008A2961">
        <w:rPr>
          <w:sz w:val="24"/>
          <w:szCs w:val="24"/>
          <w:lang w:val="en-IN"/>
        </w:rPr>
        <w:t>) as a replacement for Ind AS 1, but notes it is "yet to be notified".</w:t>
      </w:r>
    </w:p>
    <w:p w:rsidR="008A2961" w:rsidRPr="008A2961" w:rsidRDefault="008A2961" w:rsidP="008A2961">
      <w:pPr>
        <w:numPr>
          <w:ilvl w:val="0"/>
          <w:numId w:val="13"/>
        </w:numPr>
        <w:rPr>
          <w:sz w:val="24"/>
          <w:szCs w:val="24"/>
          <w:lang w:val="en-IN"/>
        </w:rPr>
      </w:pPr>
      <w:r w:rsidRPr="008A2961">
        <w:rPr>
          <w:b/>
          <w:bCs/>
          <w:sz w:val="24"/>
          <w:szCs w:val="24"/>
          <w:lang w:val="en-IN"/>
        </w:rPr>
        <w:t>Suggestion:</w:t>
      </w:r>
      <w:r w:rsidRPr="008A2961">
        <w:rPr>
          <w:sz w:val="24"/>
          <w:szCs w:val="24"/>
          <w:lang w:val="en-IN"/>
        </w:rPr>
        <w:t xml:space="preserve"> Suggest that the final amendment include a "transition bridge" or footnote clarifying which standard applies if Ind AS 118 is not yet active by the April 2027 effective date.</w:t>
      </w:r>
    </w:p>
    <w:p w:rsidR="008A2961" w:rsidRPr="008A2961" w:rsidRDefault="008A2961" w:rsidP="008A2961">
      <w:pPr>
        <w:rPr>
          <w:b/>
          <w:bCs/>
          <w:sz w:val="24"/>
          <w:szCs w:val="24"/>
          <w:lang w:val="en-IN"/>
        </w:rPr>
      </w:pPr>
      <w:r w:rsidRPr="008A2961">
        <w:rPr>
          <w:b/>
          <w:bCs/>
          <w:sz w:val="24"/>
          <w:szCs w:val="24"/>
          <w:lang w:val="en-IN"/>
        </w:rPr>
        <w:t>5. Interaction with Tax Laws</w:t>
      </w:r>
    </w:p>
    <w:p w:rsidR="008A2961" w:rsidRPr="008A2961" w:rsidRDefault="008A2961" w:rsidP="008A2961">
      <w:pPr>
        <w:rPr>
          <w:sz w:val="24"/>
          <w:szCs w:val="24"/>
          <w:lang w:val="en-IN"/>
        </w:rPr>
      </w:pPr>
      <w:r w:rsidRPr="008A2961">
        <w:rPr>
          <w:sz w:val="24"/>
          <w:szCs w:val="24"/>
          <w:lang w:val="en-IN"/>
        </w:rPr>
        <w:t>Translating all income and expenses at the closing rate (rather than transaction-date rates) for hyperinflationary presentation purposes may create significant temporary differences.</w:t>
      </w:r>
    </w:p>
    <w:p w:rsidR="005B7653" w:rsidRPr="005E36A2" w:rsidRDefault="008A2961" w:rsidP="008A2961">
      <w:pPr>
        <w:numPr>
          <w:ilvl w:val="0"/>
          <w:numId w:val="14"/>
        </w:numPr>
        <w:rPr>
          <w:sz w:val="24"/>
          <w:szCs w:val="24"/>
          <w:lang w:val="en-IN"/>
        </w:rPr>
      </w:pPr>
      <w:r w:rsidRPr="008A2961">
        <w:rPr>
          <w:b/>
          <w:bCs/>
          <w:sz w:val="24"/>
          <w:szCs w:val="24"/>
          <w:lang w:val="en-IN"/>
        </w:rPr>
        <w:t>Suggestion:</w:t>
      </w:r>
      <w:r w:rsidRPr="008A2961">
        <w:rPr>
          <w:sz w:val="24"/>
          <w:szCs w:val="24"/>
          <w:lang w:val="en-IN"/>
        </w:rPr>
        <w:t xml:space="preserve"> Ask for guidance or illustrative examples on how these translation differences should be treated for deferred tax purposes under Ind AS 12.</w:t>
      </w:r>
    </w:p>
    <w:p w:rsidR="005B7653" w:rsidRPr="008A2961" w:rsidRDefault="005B7653" w:rsidP="005B7653">
      <w:pPr>
        <w:rPr>
          <w:sz w:val="24"/>
          <w:szCs w:val="24"/>
        </w:rPr>
      </w:pPr>
      <w:r w:rsidRPr="005B7653">
        <w:rPr>
          <w:b/>
          <w:bCs/>
          <w:sz w:val="24"/>
          <w:szCs w:val="24"/>
        </w:rPr>
        <w:t xml:space="preserve">6. </w:t>
      </w:r>
      <w:r w:rsidR="00A767DA" w:rsidRPr="005B7653">
        <w:rPr>
          <w:b/>
          <w:bCs/>
          <w:sz w:val="24"/>
          <w:szCs w:val="24"/>
        </w:rPr>
        <w:t>Translation Method under Paragraph 41A</w:t>
      </w:r>
      <w:r w:rsidR="00A767DA" w:rsidRPr="005B7653">
        <w:rPr>
          <w:sz w:val="24"/>
          <w:szCs w:val="24"/>
        </w:rPr>
        <w:br/>
        <w:t xml:space="preserve">The requirement to translate all items, including income and expenses, at the closing rate simplifies application. However, translating income and expenses at the closing rate may reduce relevance of period performance where exchange rates are volatile. </w:t>
      </w:r>
    </w:p>
    <w:p w:rsidR="00807425" w:rsidRPr="005B7653" w:rsidRDefault="005B7653" w:rsidP="005B7653">
      <w:pPr>
        <w:pStyle w:val="ListParagraph"/>
        <w:numPr>
          <w:ilvl w:val="0"/>
          <w:numId w:val="15"/>
        </w:numPr>
        <w:rPr>
          <w:sz w:val="24"/>
          <w:szCs w:val="24"/>
        </w:rPr>
      </w:pPr>
      <w:r w:rsidRPr="005B7653">
        <w:rPr>
          <w:b/>
          <w:bCs/>
          <w:sz w:val="24"/>
          <w:szCs w:val="24"/>
          <w:lang w:val="en-IN"/>
        </w:rPr>
        <w:t>Suggestion:</w:t>
      </w:r>
      <w:r w:rsidR="00381455">
        <w:rPr>
          <w:b/>
          <w:bCs/>
          <w:sz w:val="24"/>
          <w:szCs w:val="24"/>
          <w:lang w:val="en-IN"/>
        </w:rPr>
        <w:t xml:space="preserve"> </w:t>
      </w:r>
      <w:r w:rsidR="00A767DA" w:rsidRPr="005B7653">
        <w:rPr>
          <w:sz w:val="24"/>
          <w:szCs w:val="24"/>
        </w:rPr>
        <w:t>Consideration may be given to permitting use of average rates as a practical expedient where results are not materially different.</w:t>
      </w:r>
      <w:r w:rsidR="00A767DA" w:rsidRPr="005B7653">
        <w:rPr>
          <w:sz w:val="24"/>
          <w:szCs w:val="24"/>
        </w:rPr>
        <w:br/>
      </w:r>
    </w:p>
    <w:p w:rsidR="00381455" w:rsidRDefault="00381455">
      <w:pPr>
        <w:rPr>
          <w:sz w:val="24"/>
          <w:szCs w:val="24"/>
        </w:rPr>
      </w:pPr>
      <w:r w:rsidRPr="00381455">
        <w:rPr>
          <w:b/>
          <w:bCs/>
          <w:sz w:val="24"/>
          <w:szCs w:val="24"/>
        </w:rPr>
        <w:lastRenderedPageBreak/>
        <w:t xml:space="preserve">7. </w:t>
      </w:r>
      <w:r w:rsidR="00A767DA" w:rsidRPr="00381455">
        <w:rPr>
          <w:b/>
          <w:bCs/>
          <w:sz w:val="24"/>
          <w:szCs w:val="24"/>
        </w:rPr>
        <w:t>Treatment of Comparative Information (Paragraphs 41A and 47A)</w:t>
      </w:r>
      <w:r w:rsidR="00A767DA" w:rsidRPr="005B7653">
        <w:rPr>
          <w:sz w:val="24"/>
          <w:szCs w:val="24"/>
        </w:rPr>
        <w:br/>
        <w:t xml:space="preserve">The different treatment of comparatives under paragraphs 41A and 47A may create complexity for preparers and users. </w:t>
      </w:r>
    </w:p>
    <w:p w:rsidR="00807425" w:rsidRPr="00381455" w:rsidRDefault="00381455" w:rsidP="00381455">
      <w:pPr>
        <w:pStyle w:val="ListParagraph"/>
        <w:numPr>
          <w:ilvl w:val="0"/>
          <w:numId w:val="15"/>
        </w:numPr>
        <w:rPr>
          <w:sz w:val="24"/>
          <w:szCs w:val="24"/>
        </w:rPr>
      </w:pPr>
      <w:r w:rsidRPr="00381455">
        <w:rPr>
          <w:b/>
          <w:bCs/>
          <w:sz w:val="24"/>
          <w:szCs w:val="24"/>
          <w:lang w:val="en-IN"/>
        </w:rPr>
        <w:t>Suggestion:</w:t>
      </w:r>
      <w:r w:rsidRPr="00381455">
        <w:rPr>
          <w:b/>
          <w:bCs/>
          <w:sz w:val="24"/>
          <w:szCs w:val="24"/>
          <w:lang w:val="en-IN"/>
        </w:rPr>
        <w:t xml:space="preserve"> </w:t>
      </w:r>
      <w:r w:rsidR="00A767DA" w:rsidRPr="00381455">
        <w:rPr>
          <w:sz w:val="24"/>
          <w:szCs w:val="24"/>
        </w:rPr>
        <w:t>Additional illustrative examples or application guidance explaining the interaction between Ind AS 21 and Ind AS 29 would be beneficial.</w:t>
      </w:r>
      <w:r w:rsidR="00A767DA" w:rsidRPr="00381455">
        <w:rPr>
          <w:sz w:val="24"/>
          <w:szCs w:val="24"/>
        </w:rPr>
        <w:br/>
      </w:r>
    </w:p>
    <w:p w:rsidR="00381455" w:rsidRDefault="00381455">
      <w:pPr>
        <w:rPr>
          <w:sz w:val="24"/>
          <w:szCs w:val="24"/>
        </w:rPr>
      </w:pPr>
      <w:r w:rsidRPr="00381455">
        <w:rPr>
          <w:b/>
          <w:bCs/>
          <w:sz w:val="24"/>
          <w:szCs w:val="24"/>
        </w:rPr>
        <w:t xml:space="preserve">8. </w:t>
      </w:r>
      <w:r w:rsidR="00A767DA" w:rsidRPr="00381455">
        <w:rPr>
          <w:b/>
          <w:bCs/>
          <w:sz w:val="24"/>
          <w:szCs w:val="24"/>
        </w:rPr>
        <w:t>Cessation of Hyperinflation (Paragraph 41B)</w:t>
      </w:r>
      <w:r w:rsidR="00A767DA" w:rsidRPr="005B7653">
        <w:rPr>
          <w:sz w:val="24"/>
          <w:szCs w:val="24"/>
        </w:rPr>
        <w:br/>
        <w:t xml:space="preserve">The prospective application when the presentation currency ceases to be hyperinflationary is appropriate. </w:t>
      </w:r>
    </w:p>
    <w:p w:rsidR="00807425" w:rsidRPr="00381455" w:rsidRDefault="00381455" w:rsidP="00381455">
      <w:pPr>
        <w:pStyle w:val="ListParagraph"/>
        <w:numPr>
          <w:ilvl w:val="0"/>
          <w:numId w:val="15"/>
        </w:numPr>
        <w:rPr>
          <w:sz w:val="24"/>
          <w:szCs w:val="24"/>
        </w:rPr>
      </w:pPr>
      <w:r w:rsidRPr="00381455">
        <w:rPr>
          <w:b/>
          <w:bCs/>
          <w:sz w:val="24"/>
          <w:szCs w:val="24"/>
          <w:lang w:val="en-IN"/>
        </w:rPr>
        <w:t>Suggestion:</w:t>
      </w:r>
      <w:r w:rsidRPr="00381455">
        <w:rPr>
          <w:b/>
          <w:bCs/>
          <w:sz w:val="24"/>
          <w:szCs w:val="24"/>
          <w:lang w:val="en-IN"/>
        </w:rPr>
        <w:t xml:space="preserve"> </w:t>
      </w:r>
      <w:r w:rsidR="00A767DA" w:rsidRPr="00381455">
        <w:rPr>
          <w:sz w:val="24"/>
          <w:szCs w:val="24"/>
        </w:rPr>
        <w:t>Clarification may be provided regarding treatment of retained earnings accumulated under paragraph 41A at the transition date.</w:t>
      </w:r>
      <w:r w:rsidR="00A767DA" w:rsidRPr="00381455">
        <w:rPr>
          <w:sz w:val="24"/>
          <w:szCs w:val="24"/>
        </w:rPr>
        <w:br/>
      </w:r>
    </w:p>
    <w:p w:rsidR="00381455" w:rsidRDefault="00381455">
      <w:pPr>
        <w:rPr>
          <w:sz w:val="24"/>
          <w:szCs w:val="24"/>
        </w:rPr>
      </w:pPr>
      <w:r w:rsidRPr="00381455">
        <w:rPr>
          <w:b/>
          <w:bCs/>
          <w:sz w:val="24"/>
          <w:szCs w:val="24"/>
        </w:rPr>
        <w:t xml:space="preserve">9. </w:t>
      </w:r>
      <w:r w:rsidR="00A767DA" w:rsidRPr="00381455">
        <w:rPr>
          <w:b/>
          <w:bCs/>
          <w:sz w:val="24"/>
          <w:szCs w:val="24"/>
        </w:rPr>
        <w:t>Disclosure Requirements (Paragraphs 53A and 53B)</w:t>
      </w:r>
      <w:r w:rsidR="00A767DA" w:rsidRPr="005B7653">
        <w:rPr>
          <w:sz w:val="24"/>
          <w:szCs w:val="24"/>
        </w:rPr>
        <w:br/>
        <w:t xml:space="preserve">The enhanced disclosures improve transparency. However, disclosure of summarised financial information for all foreign operations may be onerous for entities with multiple foreign operations. </w:t>
      </w:r>
    </w:p>
    <w:p w:rsidR="00807425" w:rsidRPr="00BA4E6A" w:rsidRDefault="00381455" w:rsidP="00BA4E6A">
      <w:pPr>
        <w:pStyle w:val="ListParagraph"/>
        <w:numPr>
          <w:ilvl w:val="0"/>
          <w:numId w:val="15"/>
        </w:numPr>
        <w:rPr>
          <w:sz w:val="24"/>
          <w:szCs w:val="24"/>
        </w:rPr>
      </w:pPr>
      <w:r w:rsidRPr="00381455">
        <w:rPr>
          <w:b/>
          <w:bCs/>
          <w:sz w:val="24"/>
          <w:szCs w:val="24"/>
          <w:lang w:val="en-IN"/>
        </w:rPr>
        <w:t xml:space="preserve">Suggestion: </w:t>
      </w:r>
      <w:r w:rsidR="00A767DA" w:rsidRPr="00381455">
        <w:rPr>
          <w:sz w:val="24"/>
          <w:szCs w:val="24"/>
        </w:rPr>
        <w:t>A materiality-based or aggregation approach may be considered.</w:t>
      </w:r>
      <w:r w:rsidR="00A767DA" w:rsidRPr="00BA4E6A">
        <w:rPr>
          <w:sz w:val="24"/>
          <w:szCs w:val="24"/>
        </w:rPr>
        <w:br/>
      </w:r>
    </w:p>
    <w:p w:rsidR="00807425" w:rsidRPr="005B7653" w:rsidRDefault="00A767DA">
      <w:pPr>
        <w:pStyle w:val="Heading2"/>
        <w:rPr>
          <w:sz w:val="24"/>
          <w:szCs w:val="24"/>
        </w:rPr>
      </w:pPr>
      <w:r w:rsidRPr="005B7653">
        <w:rPr>
          <w:sz w:val="24"/>
          <w:szCs w:val="24"/>
        </w:rPr>
        <w:t>Conclusion</w:t>
      </w:r>
    </w:p>
    <w:p w:rsidR="00807425" w:rsidRPr="005B7653" w:rsidRDefault="00A767DA">
      <w:pPr>
        <w:rPr>
          <w:sz w:val="24"/>
          <w:szCs w:val="24"/>
        </w:rPr>
      </w:pPr>
      <w:r w:rsidRPr="005B7653">
        <w:rPr>
          <w:sz w:val="24"/>
          <w:szCs w:val="24"/>
        </w:rPr>
        <w:t>We support the proposed amendments to Ind AS 21. Subject to the above suggestions, the amendments will enhance clarity, consistency and usefulness of financial statements.</w:t>
      </w:r>
      <w:r w:rsidRPr="005B7653">
        <w:rPr>
          <w:sz w:val="24"/>
          <w:szCs w:val="24"/>
        </w:rPr>
        <w:br/>
      </w:r>
      <w:r w:rsidRPr="005B7653">
        <w:rPr>
          <w:sz w:val="24"/>
          <w:szCs w:val="24"/>
        </w:rPr>
        <w:br/>
        <w:t>We thank the Board for providing the opportunity to submit our comments.</w:t>
      </w:r>
      <w:r w:rsidRPr="005B7653">
        <w:rPr>
          <w:sz w:val="24"/>
          <w:szCs w:val="24"/>
        </w:rPr>
        <w:br/>
      </w:r>
      <w:r w:rsidRPr="005B7653">
        <w:rPr>
          <w:sz w:val="24"/>
          <w:szCs w:val="24"/>
        </w:rPr>
        <w:br/>
        <w:t>Yours faithfully,</w:t>
      </w:r>
      <w:r w:rsidRPr="005B7653">
        <w:rPr>
          <w:sz w:val="24"/>
          <w:szCs w:val="24"/>
        </w:rPr>
        <w:br/>
      </w:r>
      <w:r w:rsidRPr="005B7653">
        <w:rPr>
          <w:sz w:val="24"/>
          <w:szCs w:val="24"/>
        </w:rPr>
        <w:br/>
      </w:r>
    </w:p>
    <w:sectPr w:rsidR="00807425" w:rsidRPr="005B765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2690604"/>
    <w:multiLevelType w:val="multilevel"/>
    <w:tmpl w:val="359ACA06"/>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1475D2"/>
    <w:multiLevelType w:val="multilevel"/>
    <w:tmpl w:val="78943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510092"/>
    <w:multiLevelType w:val="multilevel"/>
    <w:tmpl w:val="3A0AE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73429D"/>
    <w:multiLevelType w:val="hybridMultilevel"/>
    <w:tmpl w:val="2F16B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6B171B6"/>
    <w:multiLevelType w:val="multilevel"/>
    <w:tmpl w:val="374E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7F2BA3"/>
    <w:multiLevelType w:val="multilevel"/>
    <w:tmpl w:val="6FA80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BB25F4"/>
    <w:multiLevelType w:val="hybridMultilevel"/>
    <w:tmpl w:val="59C8A55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42767047">
    <w:abstractNumId w:val="8"/>
  </w:num>
  <w:num w:numId="2" w16cid:durableId="1200245795">
    <w:abstractNumId w:val="6"/>
  </w:num>
  <w:num w:numId="3" w16cid:durableId="221796057">
    <w:abstractNumId w:val="5"/>
  </w:num>
  <w:num w:numId="4" w16cid:durableId="992754500">
    <w:abstractNumId w:val="4"/>
  </w:num>
  <w:num w:numId="5" w16cid:durableId="409356446">
    <w:abstractNumId w:val="7"/>
  </w:num>
  <w:num w:numId="6" w16cid:durableId="1851796794">
    <w:abstractNumId w:val="3"/>
  </w:num>
  <w:num w:numId="7" w16cid:durableId="961351914">
    <w:abstractNumId w:val="2"/>
  </w:num>
  <w:num w:numId="8" w16cid:durableId="1370564922">
    <w:abstractNumId w:val="1"/>
  </w:num>
  <w:num w:numId="9" w16cid:durableId="1982926964">
    <w:abstractNumId w:val="0"/>
  </w:num>
  <w:num w:numId="10" w16cid:durableId="1252275360">
    <w:abstractNumId w:val="14"/>
  </w:num>
  <w:num w:numId="11" w16cid:durableId="1239291365">
    <w:abstractNumId w:val="10"/>
  </w:num>
  <w:num w:numId="12" w16cid:durableId="1985575541">
    <w:abstractNumId w:val="13"/>
  </w:num>
  <w:num w:numId="13" w16cid:durableId="1969047289">
    <w:abstractNumId w:val="11"/>
  </w:num>
  <w:num w:numId="14" w16cid:durableId="2146849634">
    <w:abstractNumId w:val="9"/>
  </w:num>
  <w:num w:numId="15" w16cid:durableId="1004429569">
    <w:abstractNumId w:val="12"/>
  </w:num>
  <w:num w:numId="16" w16cid:durableId="2113297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B47730"/>
    <w:rsid w:val="00034616"/>
    <w:rsid w:val="0006063C"/>
    <w:rsid w:val="0015074B"/>
    <w:rsid w:val="0029639D"/>
    <w:rsid w:val="00326F90"/>
    <w:rsid w:val="00381455"/>
    <w:rsid w:val="005B7653"/>
    <w:rsid w:val="005E36A2"/>
    <w:rsid w:val="005E61FC"/>
    <w:rsid w:val="00807425"/>
    <w:rsid w:val="008A2961"/>
    <w:rsid w:val="00A767DA"/>
    <w:rsid w:val="00AA1D8D"/>
    <w:rsid w:val="00B47730"/>
    <w:rsid w:val="00BA4E6A"/>
    <w:rsid w:val="00CB0664"/>
    <w:rsid w:val="00FC69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F6648A"/>
  <w15:docId w15:val="{7A618C6B-B2CA-440B-97A3-97E194331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686</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vinay kumar</cp:lastModifiedBy>
  <cp:revision>7</cp:revision>
  <dcterms:created xsi:type="dcterms:W3CDTF">2013-12-23T23:15:00Z</dcterms:created>
  <dcterms:modified xsi:type="dcterms:W3CDTF">2026-01-03T10:40:00Z</dcterms:modified>
  <cp:category/>
</cp:coreProperties>
</file>